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64F" w:rsidRDefault="00B4364F" w:rsidP="00B4364F">
      <w:pPr>
        <w:spacing w:after="240" w:line="480" w:lineRule="auto"/>
        <w:jc w:val="center"/>
      </w:pPr>
    </w:p>
    <w:p w:rsidR="00B4364F" w:rsidRDefault="00B4364F" w:rsidP="00B4364F">
      <w:pPr>
        <w:spacing w:after="240" w:line="480" w:lineRule="auto"/>
        <w:jc w:val="center"/>
      </w:pPr>
    </w:p>
    <w:p w:rsidR="00B4364F" w:rsidRDefault="00B4364F" w:rsidP="00B4364F">
      <w:pPr>
        <w:spacing w:after="240" w:line="480" w:lineRule="auto"/>
        <w:jc w:val="center"/>
      </w:pPr>
    </w:p>
    <w:p w:rsidR="00B4364F" w:rsidRDefault="00B4364F" w:rsidP="00B4364F">
      <w:pPr>
        <w:spacing w:after="240" w:line="480" w:lineRule="auto"/>
        <w:jc w:val="center"/>
      </w:pPr>
    </w:p>
    <w:p w:rsidR="009D7570" w:rsidRDefault="00B4364F" w:rsidP="00B4364F">
      <w:pPr>
        <w:spacing w:after="240" w:line="480" w:lineRule="auto"/>
        <w:jc w:val="center"/>
      </w:pPr>
      <w:r>
        <w:t>Criminal Justice</w:t>
      </w:r>
    </w:p>
    <w:p w:rsidR="00B4364F" w:rsidRDefault="00B4364F" w:rsidP="00B4364F">
      <w:pPr>
        <w:spacing w:after="240" w:line="480" w:lineRule="auto"/>
        <w:jc w:val="center"/>
      </w:pPr>
      <w:r>
        <w:t>Name</w:t>
      </w:r>
    </w:p>
    <w:p w:rsidR="00B4364F" w:rsidRDefault="00B4364F" w:rsidP="00B4364F">
      <w:pPr>
        <w:spacing w:after="240" w:line="480" w:lineRule="auto"/>
        <w:jc w:val="center"/>
      </w:pPr>
      <w:r>
        <w:t>Institution of Affiliation</w:t>
      </w:r>
    </w:p>
    <w:p w:rsidR="00B4364F" w:rsidRDefault="00B4364F" w:rsidP="00B4364F">
      <w:pPr>
        <w:spacing w:after="240" w:line="480" w:lineRule="auto"/>
        <w:jc w:val="center"/>
      </w:pPr>
      <w:r>
        <w:t>Course Code</w:t>
      </w:r>
    </w:p>
    <w:p w:rsidR="00B4364F" w:rsidRDefault="00B4364F" w:rsidP="00B4364F">
      <w:pPr>
        <w:spacing w:after="240" w:line="480" w:lineRule="auto"/>
        <w:jc w:val="center"/>
      </w:pPr>
      <w:r>
        <w:t>Date</w:t>
      </w:r>
    </w:p>
    <w:p w:rsidR="009D7570" w:rsidRDefault="009D7570" w:rsidP="00B4364F">
      <w:pPr>
        <w:spacing w:after="240" w:line="480" w:lineRule="auto"/>
        <w:ind w:firstLine="720"/>
      </w:pPr>
    </w:p>
    <w:p w:rsidR="009D7570" w:rsidRDefault="009D7570" w:rsidP="00B4364F">
      <w:pPr>
        <w:spacing w:after="240" w:line="480" w:lineRule="auto"/>
        <w:ind w:firstLine="720"/>
      </w:pPr>
    </w:p>
    <w:p w:rsidR="009D7570" w:rsidRDefault="009D7570" w:rsidP="00B4364F">
      <w:pPr>
        <w:spacing w:after="240" w:line="480" w:lineRule="auto"/>
        <w:ind w:firstLine="720"/>
      </w:pPr>
    </w:p>
    <w:p w:rsidR="009D7570" w:rsidRDefault="009D7570" w:rsidP="00B4364F">
      <w:pPr>
        <w:spacing w:after="240" w:line="480" w:lineRule="auto"/>
        <w:ind w:firstLine="720"/>
      </w:pPr>
    </w:p>
    <w:p w:rsidR="009D7570" w:rsidRDefault="009D7570" w:rsidP="00B4364F">
      <w:pPr>
        <w:spacing w:after="240" w:line="480" w:lineRule="auto"/>
        <w:ind w:firstLine="720"/>
      </w:pPr>
    </w:p>
    <w:p w:rsidR="009D7570" w:rsidRDefault="009D7570" w:rsidP="00B4364F">
      <w:pPr>
        <w:spacing w:after="240" w:line="480" w:lineRule="auto"/>
        <w:ind w:firstLine="720"/>
      </w:pPr>
    </w:p>
    <w:p w:rsidR="00B4364F" w:rsidRDefault="00B4364F">
      <w:r>
        <w:br w:type="page"/>
      </w:r>
    </w:p>
    <w:p w:rsidR="00746C2F" w:rsidRDefault="00746C2F" w:rsidP="007D5442">
      <w:pPr>
        <w:spacing w:after="240" w:line="480" w:lineRule="auto"/>
        <w:jc w:val="center"/>
        <w:rPr>
          <w:b/>
          <w:color w:val="2D3B45"/>
        </w:rPr>
      </w:pPr>
      <w:r>
        <w:rPr>
          <w:b/>
          <w:color w:val="2D3B45"/>
        </w:rPr>
        <w:lastRenderedPageBreak/>
        <w:t>Crimi</w:t>
      </w:r>
      <w:bookmarkStart w:id="0" w:name="_GoBack"/>
      <w:bookmarkEnd w:id="0"/>
      <w:r>
        <w:rPr>
          <w:b/>
          <w:color w:val="2D3B45"/>
        </w:rPr>
        <w:t>nal Justice</w:t>
      </w:r>
    </w:p>
    <w:p w:rsidR="009D7570" w:rsidRPr="009D7570" w:rsidRDefault="009D7570" w:rsidP="00B4364F">
      <w:pPr>
        <w:spacing w:after="240" w:line="480" w:lineRule="auto"/>
        <w:rPr>
          <w:b/>
        </w:rPr>
      </w:pPr>
      <w:r>
        <w:rPr>
          <w:b/>
          <w:color w:val="2D3B45"/>
        </w:rPr>
        <w:t>Sociodemographic Characteristics of Victims and Offenders of H</w:t>
      </w:r>
      <w:r w:rsidRPr="009D7570">
        <w:rPr>
          <w:b/>
          <w:color w:val="2D3B45"/>
        </w:rPr>
        <w:t>omicide in the United States from Daigle</w:t>
      </w:r>
    </w:p>
    <w:p w:rsidR="00D14FD6" w:rsidRDefault="00A247E8" w:rsidP="00B4364F">
      <w:pPr>
        <w:spacing w:after="240" w:line="480" w:lineRule="auto"/>
        <w:ind w:firstLine="720"/>
      </w:pPr>
      <w:r>
        <w:t xml:space="preserve">With respect to gender, it was hypothesized that females were more likely than males to be killed at home and by a family member or a friend. It was predicted this was because females are more concentrated on household duties than guys. Victim age is an essential social-demographic factor where the study revealed that young and old individuals were more likely than others to be killed at home and by family members or a friend. In the United States, people in various age groups have different lifestyles, which builds opportunities for offenders. Thus, according to Daigle (2021), people in other age groups should have different victimization risks. Next, religion is also a socio-cultural characteristic that is influential to people's lives. The study suggested that homicide victims that belonged to Hindu or other religions are more likely to be killed at home compared to homicide victims who follow Islam. </w:t>
      </w:r>
    </w:p>
    <w:p w:rsidR="00B4364F" w:rsidRDefault="00A247E8" w:rsidP="00B4364F">
      <w:pPr>
        <w:spacing w:before="240" w:after="240" w:line="480" w:lineRule="auto"/>
        <w:ind w:firstLine="720"/>
      </w:pPr>
      <w:r>
        <w:t xml:space="preserve">The marital status of a person has a significant impact on their daily activities. A married person is required to return to their home after work. On the other hand, an unmarried person may not be required to do so on a regular basis in some situations. Furthermore, when compared to married people, an unmarried individual is more likely to participate in activities outside the home, such as going to the movies or meeting with friends. As a result, the study suggests that married people are more likely than unmarried people to be slain at home and by a member of their family. Finally, employment status is a social-demographic characteristic that shape </w:t>
      </w:r>
      <w:r w:rsidR="00B4364F">
        <w:t>people’s</w:t>
      </w:r>
      <w:r>
        <w:t xml:space="preserve"> day to day activities. The likelihood of being slain at home by a family member is </w:t>
      </w:r>
      <w:r>
        <w:lastRenderedPageBreak/>
        <w:t>higher for those employed in agricultural work than for those employed in other professions or as laborers.</w:t>
      </w:r>
    </w:p>
    <w:p w:rsidR="009D7570" w:rsidRPr="00B4364F" w:rsidRDefault="009D7570" w:rsidP="00B4364F">
      <w:pPr>
        <w:spacing w:before="240" w:after="240" w:line="480" w:lineRule="auto"/>
        <w:jc w:val="center"/>
      </w:pPr>
      <w:r>
        <w:rPr>
          <w:b/>
          <w:color w:val="2D3B45"/>
        </w:rPr>
        <w:t>Incident Characteristics of H</w:t>
      </w:r>
      <w:r w:rsidRPr="009D7570">
        <w:rPr>
          <w:b/>
          <w:color w:val="2D3B45"/>
        </w:rPr>
        <w:t>omicide in the United States from Daigle</w:t>
      </w:r>
    </w:p>
    <w:p w:rsidR="00D14FD6" w:rsidRDefault="00A247E8" w:rsidP="00B4364F">
      <w:pPr>
        <w:spacing w:before="240" w:after="240" w:line="480" w:lineRule="auto"/>
        <w:ind w:firstLine="720"/>
      </w:pPr>
      <w:r>
        <w:t xml:space="preserve">Individuals suffering from personality problems are more likely to commit homicidal acts. When compared to other diagnoses, personality disorders have low diagnostic reliability, which may be one explanation for their low prevalence. As a whole, research appears to imply that the features of those who are addicted to alcohol are similar: impulsive behaviors preceded by conflicts, employment of violent tactics, and acquaintances as the primary group of victims. Furthermore, it has been discovered that drunkenness is widespread among homicide offenders who suffer from personality </w:t>
      </w:r>
      <w:r w:rsidR="00B029CA">
        <w:t>problems (Daigle, 2021)</w:t>
      </w:r>
      <w:r>
        <w:t>.</w:t>
      </w:r>
    </w:p>
    <w:p w:rsidR="00D14FD6" w:rsidRDefault="00A247E8" w:rsidP="00B4364F">
      <w:pPr>
        <w:spacing w:before="240" w:after="240" w:line="480" w:lineRule="auto"/>
        <w:ind w:firstLine="720"/>
      </w:pPr>
      <w:r>
        <w:t>Homicides perpetrated by drug addicts, on the other hand, have been found to have traits in common with those committed by people suffering from schizophrenia and have been linked to the use of poisoning as a form of homicide. There have also been rep</w:t>
      </w:r>
      <w:r w:rsidR="009D7570">
        <w:t>orts of links between a motive-for example, revenge-</w:t>
      </w:r>
      <w:r>
        <w:t xml:space="preserve">and a mental illness. </w:t>
      </w:r>
      <w:r w:rsidR="00AC0ADF">
        <w:t>Carabellese et al (2021), found</w:t>
      </w:r>
      <w:r>
        <w:t xml:space="preserve"> a strong association between a schizophrenia diagnosis and persecution as a motive, while other studies found an association between personality disorders and an impulsive reaction at the time of the crime.</w:t>
      </w:r>
    </w:p>
    <w:p w:rsidR="00D14FD6" w:rsidRDefault="00A247E8" w:rsidP="00B4364F">
      <w:pPr>
        <w:spacing w:before="240" w:after="240" w:line="480" w:lineRule="auto"/>
        <w:ind w:firstLine="720"/>
      </w:pPr>
      <w:r>
        <w:t>Nonetheless</w:t>
      </w:r>
      <w:r w:rsidR="00AC0ADF">
        <w:t>, a common disadvantage of the study</w:t>
      </w:r>
      <w:r>
        <w:t xml:space="preserve"> is that information is not necessarily gathered from data collected for research objectives, which is a common limitation in this field. It is possible that significant amounts of data ar</w:t>
      </w:r>
      <w:r w:rsidR="009D7570">
        <w:t xml:space="preserve">e missing from several sources. </w:t>
      </w:r>
      <w:r w:rsidR="00AC0ADF">
        <w:t>To illustrate</w:t>
      </w:r>
      <w:r>
        <w:t>, police written repo</w:t>
      </w:r>
      <w:r w:rsidR="009D7570">
        <w:t>rts and criminal self-reporting</w:t>
      </w:r>
      <w:r>
        <w:t xml:space="preserve">. The link between schizophrenia and intimate female murder may be explained by a small subset of individuals suffering from schizophrenia </w:t>
      </w:r>
      <w:r>
        <w:lastRenderedPageBreak/>
        <w:t>who commit lethal violence against those who care for them, according to recent research. Female homicide o</w:t>
      </w:r>
      <w:r w:rsidR="009D7570">
        <w:t>ffenders who commit femi</w:t>
      </w:r>
      <w:r>
        <w:t xml:space="preserve">cide had a higher prevalence of affective disorders than male homicide offenders, which may explain the relationship between affective disorders and the pattern of child homicide. Femicide is generally referred to as the intentional murder of women because they are women. More than 30,000 women were slain by an intimate partner in 2017, the most recent year for which statistics are available from the United Nations. That equates to 60 percent of all femicide-related killings in the </w:t>
      </w:r>
      <w:r w:rsidR="009D7570">
        <w:t>United States</w:t>
      </w:r>
      <w:r>
        <w:t>.</w:t>
      </w:r>
    </w:p>
    <w:p w:rsidR="00D14FD6" w:rsidRDefault="00A247E8" w:rsidP="00B4364F">
      <w:pPr>
        <w:spacing w:before="240" w:after="240" w:line="480" w:lineRule="auto"/>
        <w:ind w:firstLine="720"/>
      </w:pPr>
      <w:r>
        <w:t>Male family members are the second most common category of perpetrators, coming in second place. Some experts believe that femicide is preventable and that the killing of women because of their gender is frequently the climax of preceding gender-based violence; as a result, it is important to look at statistics on gender-based violence as well. According to W</w:t>
      </w:r>
      <w:r w:rsidR="00746C2F">
        <w:t>orld Health Organization</w:t>
      </w:r>
      <w:r>
        <w:t>, the various risk factors associated with femicide perpetration and victimization include living in a country where there is a significant disparity between men and women and being a resident of a country where government expenditures on health and education. (Meadows, 2018). Risk factors that make an individual victim of femicide include prior abuse by partner, pregnancy, estrangement from partner, and presence of children from previous relationships.</w:t>
      </w:r>
    </w:p>
    <w:p w:rsidR="00AC0ADF" w:rsidRPr="00B029CA" w:rsidRDefault="00B029CA" w:rsidP="00B4364F">
      <w:pPr>
        <w:spacing w:before="240" w:after="240" w:line="480" w:lineRule="auto"/>
        <w:ind w:firstLine="720"/>
        <w:rPr>
          <w:b/>
        </w:rPr>
      </w:pPr>
      <w:r>
        <w:rPr>
          <w:b/>
        </w:rPr>
        <w:t xml:space="preserve">                                     </w:t>
      </w:r>
      <w:r w:rsidR="00AC0ADF" w:rsidRPr="00B029CA">
        <w:rPr>
          <w:b/>
        </w:rPr>
        <w:t xml:space="preserve">Femicide in </w:t>
      </w:r>
      <w:r>
        <w:rPr>
          <w:b/>
        </w:rPr>
        <w:t xml:space="preserve">the </w:t>
      </w:r>
      <w:r w:rsidR="00AC0ADF" w:rsidRPr="00B029CA">
        <w:rPr>
          <w:b/>
        </w:rPr>
        <w:t>United States</w:t>
      </w:r>
    </w:p>
    <w:p w:rsidR="00D14FD6" w:rsidRDefault="009D7570" w:rsidP="00B4364F">
      <w:pPr>
        <w:spacing w:before="240" w:after="240" w:line="480" w:lineRule="auto"/>
        <w:ind w:firstLine="720"/>
      </w:pPr>
      <w:r>
        <w:t>According to Fox and</w:t>
      </w:r>
      <w:r w:rsidRPr="006523D9">
        <w:t xml:space="preserve"> Fridel</w:t>
      </w:r>
      <w:r>
        <w:t xml:space="preserve"> (2021)</w:t>
      </w:r>
      <w:r w:rsidR="00A247E8">
        <w:t>, some 2000 women are killed by men every year</w:t>
      </w:r>
      <w:r>
        <w:t xml:space="preserve"> in the United States</w:t>
      </w:r>
      <w:r w:rsidR="00A247E8">
        <w:t xml:space="preserve">. April 2020 saw the killing of a 20-year-old Vanessa Guillen-a Mexican-American army specialist. Her remains were found in June, and the story spurred many conversations regarding women's violence in the military. Before she disappeared, she had told </w:t>
      </w:r>
      <w:r w:rsidR="00A247E8">
        <w:lastRenderedPageBreak/>
        <w:t xml:space="preserve">her family that she had been sexually abused. This led to the spreading of new experiences from women sharing their stories under the hashtag </w:t>
      </w:r>
      <w:r w:rsidR="00A247E8" w:rsidRPr="00746C2F">
        <w:rPr>
          <w:i/>
        </w:rPr>
        <w:t>#IAmVanessaGuillen</w:t>
      </w:r>
      <w:r w:rsidR="00A247E8">
        <w:t>.</w:t>
      </w:r>
    </w:p>
    <w:p w:rsidR="00D14FD6" w:rsidRDefault="00A247E8" w:rsidP="00B4364F">
      <w:pPr>
        <w:spacing w:before="240" w:after="240" w:line="480" w:lineRule="auto"/>
        <w:ind w:firstLine="720"/>
      </w:pPr>
      <w:r>
        <w:t xml:space="preserve">Even though Vanessa Guillen's death, which was horrifying in and of itself, has helped expose an institutionalized pattern of violence within the military, it has also revealed an epidemic of violence against cis and transgender women throughout the world. Femicide, which is widely believed to mean the murder of women just because they are women, is a term that is frequently used in foreign countries, is a global issue that has a disproportionate impact on Black, Indigenous, impoverished, and migratory women. It's commonly considered as a form of violence that exists only in the peripheries, in border cities such as Ciudad Juarez, Mexico, or in places such as Latin America or Africa that are endemic to </w:t>
      </w:r>
      <w:r w:rsidR="00746C2F">
        <w:t>violence (</w:t>
      </w:r>
      <w:r w:rsidR="009D7570">
        <w:t>Rozo, Anders and</w:t>
      </w:r>
      <w:r w:rsidR="009D7570" w:rsidRPr="00EE5F70">
        <w:t xml:space="preserve"> Raphael,</w:t>
      </w:r>
      <w:r w:rsidR="009D7570">
        <w:t xml:space="preserve"> 2021)</w:t>
      </w:r>
      <w:r>
        <w:t>.</w:t>
      </w:r>
    </w:p>
    <w:p w:rsidR="009D7570" w:rsidRDefault="00A247E8" w:rsidP="00B4364F">
      <w:pPr>
        <w:spacing w:before="240" w:after="240" w:line="480" w:lineRule="auto"/>
        <w:ind w:firstLine="720"/>
      </w:pPr>
      <w:r>
        <w:t xml:space="preserve">The reality is that femicide is a crisis that is ever-present and growing in the United States of America. It is possible to commit several sorts of femicide, and it might be difficult to collect data on these crimes because some nations do not collect information that could allow them to be classified as such, according to the World Health Organization (WHO). Adding to the issue is the fact that different regions define the term differently – for some, femicide is defined as the murdering of women just because they are female, while for others, and it is defined as any murder of a </w:t>
      </w:r>
      <w:r w:rsidR="009D7570">
        <w:t>female (</w:t>
      </w:r>
      <w:r w:rsidR="009D7570" w:rsidRPr="00EE5F70">
        <w:t>Inzunza</w:t>
      </w:r>
      <w:r w:rsidR="009D7570">
        <w:t>, 2021)</w:t>
      </w:r>
      <w:r>
        <w:t xml:space="preserve"> Some nations, such as Mexico, have implemented legislation against femicide, giving the term a legal definition: the murder of a woman can be regarded as femicide if her death was motivated solely by her gender identity or sexual orientation. Although the United States has not adopted a defined definition for the term, the federal government does keep track of domestic violence-related deaths. Domestic abuse is recognized as a national offense under the Violence against Women Act, which was passed in 1994.</w:t>
      </w:r>
    </w:p>
    <w:p w:rsidR="00746C2F" w:rsidRDefault="00746C2F">
      <w:r>
        <w:lastRenderedPageBreak/>
        <w:br w:type="page"/>
      </w:r>
    </w:p>
    <w:p w:rsidR="00AC0ADF" w:rsidRDefault="009D7570" w:rsidP="00746C2F">
      <w:pPr>
        <w:spacing w:line="480" w:lineRule="auto"/>
        <w:jc w:val="center"/>
      </w:pPr>
      <w:r w:rsidRPr="006523D9">
        <w:lastRenderedPageBreak/>
        <w:t>References</w:t>
      </w:r>
    </w:p>
    <w:p w:rsidR="009D7570" w:rsidRDefault="00AC0ADF" w:rsidP="00746C2F">
      <w:pPr>
        <w:spacing w:line="480" w:lineRule="auto"/>
        <w:ind w:left="720" w:hanging="720"/>
      </w:pPr>
      <w:r>
        <w:t xml:space="preserve">Carabellese, F., Mandarelli, G., Felthous, A. R., &amp; Catanesi, R. (2021). Forensic psychiatric evaluation of 187 homicidal assailants with and without a schizophrenia spectrum disorder: Clinical, criminological and behavioral characteristics. </w:t>
      </w:r>
      <w:r>
        <w:rPr>
          <w:i/>
          <w:iCs/>
        </w:rPr>
        <w:t>Behavioral Sciences &amp; the Law</w:t>
      </w:r>
      <w:r>
        <w:t xml:space="preserve">, </w:t>
      </w:r>
      <w:r>
        <w:rPr>
          <w:i/>
          <w:iCs/>
        </w:rPr>
        <w:t>39</w:t>
      </w:r>
      <w:r>
        <w:t>(2), 190-204.</w:t>
      </w:r>
    </w:p>
    <w:p w:rsidR="009D7570" w:rsidRPr="0016316E" w:rsidRDefault="009D7570" w:rsidP="00B4364F">
      <w:pPr>
        <w:spacing w:line="480" w:lineRule="auto"/>
        <w:ind w:left="720" w:hanging="720"/>
      </w:pPr>
      <w:r w:rsidRPr="006523D9">
        <w:t xml:space="preserve">Fox, J. A., &amp; Fridel, E. E. (2021). Crime Statistics and the Media. </w:t>
      </w:r>
      <w:r w:rsidRPr="006523D9">
        <w:rPr>
          <w:i/>
          <w:iCs/>
        </w:rPr>
        <w:t>The Encyclopedia of Research Methods in Criminology and Criminal Justice</w:t>
      </w:r>
      <w:r w:rsidRPr="006523D9">
        <w:t xml:space="preserve">, </w:t>
      </w:r>
      <w:r w:rsidRPr="006523D9">
        <w:rPr>
          <w:i/>
          <w:iCs/>
        </w:rPr>
        <w:t>2</w:t>
      </w:r>
      <w:r w:rsidRPr="006523D9">
        <w:t>, 463-469.</w:t>
      </w:r>
    </w:p>
    <w:p w:rsidR="009D7570" w:rsidRDefault="009D7570" w:rsidP="00B4364F">
      <w:pPr>
        <w:spacing w:line="480" w:lineRule="auto"/>
        <w:ind w:left="720" w:hanging="720"/>
      </w:pPr>
      <w:r w:rsidRPr="00EE5F70">
        <w:t xml:space="preserve">Inzunza, I. A. O. (2021). Femicides: Different Approaches from the Regional Protection of Human Rights. </w:t>
      </w:r>
      <w:r w:rsidRPr="00EE5F70">
        <w:rPr>
          <w:i/>
          <w:iCs/>
        </w:rPr>
        <w:t>Mexican Law Review</w:t>
      </w:r>
      <w:r w:rsidRPr="00EE5F70">
        <w:t xml:space="preserve">, </w:t>
      </w:r>
      <w:r w:rsidRPr="00EE5F70">
        <w:rPr>
          <w:i/>
          <w:iCs/>
        </w:rPr>
        <w:t>14</w:t>
      </w:r>
      <w:r w:rsidRPr="00EE5F70">
        <w:t>(1), 53-87.</w:t>
      </w:r>
    </w:p>
    <w:p w:rsidR="009D7570" w:rsidRDefault="009D7570" w:rsidP="00B4364F">
      <w:pPr>
        <w:spacing w:line="480" w:lineRule="auto"/>
        <w:ind w:left="720" w:hanging="720"/>
      </w:pPr>
      <w:r w:rsidRPr="005D701D">
        <w:t xml:space="preserve">Meadows, R. J. (2018). Book Review of Understanding Violence and Victimization. </w:t>
      </w:r>
      <w:r w:rsidRPr="005D701D">
        <w:rPr>
          <w:i/>
          <w:iCs/>
        </w:rPr>
        <w:t>International Journal of Criminal Justice Sciences</w:t>
      </w:r>
      <w:r w:rsidRPr="005D701D">
        <w:t xml:space="preserve">, </w:t>
      </w:r>
      <w:r w:rsidRPr="005D701D">
        <w:rPr>
          <w:i/>
          <w:iCs/>
        </w:rPr>
        <w:t>13</w:t>
      </w:r>
      <w:r w:rsidRPr="005D701D">
        <w:t>(2).</w:t>
      </w:r>
    </w:p>
    <w:p w:rsidR="009D7570" w:rsidRDefault="009D7570" w:rsidP="00B4364F">
      <w:pPr>
        <w:spacing w:line="480" w:lineRule="auto"/>
        <w:ind w:left="720" w:hanging="720"/>
      </w:pPr>
      <w:r w:rsidRPr="00EE5F70">
        <w:t xml:space="preserve">Rozo, S. V., Anders, T., &amp; Raphael, S. (2021). Deportation, crime, and victimization. </w:t>
      </w:r>
      <w:r w:rsidRPr="00EE5F70">
        <w:rPr>
          <w:i/>
          <w:iCs/>
        </w:rPr>
        <w:t>Journal of Population Economics</w:t>
      </w:r>
      <w:r w:rsidRPr="00EE5F70">
        <w:t xml:space="preserve">, </w:t>
      </w:r>
      <w:r w:rsidRPr="00EE5F70">
        <w:rPr>
          <w:i/>
          <w:iCs/>
        </w:rPr>
        <w:t>34</w:t>
      </w:r>
      <w:r w:rsidRPr="00EE5F70">
        <w:t>(1), 141-166.</w:t>
      </w:r>
      <w:r w:rsidRPr="006523D9">
        <w:t xml:space="preserve"> </w:t>
      </w:r>
    </w:p>
    <w:p w:rsidR="009D7570" w:rsidRPr="00EE5F70" w:rsidRDefault="009D7570" w:rsidP="00B4364F">
      <w:pPr>
        <w:spacing w:line="480" w:lineRule="auto"/>
        <w:ind w:left="720" w:hanging="720"/>
      </w:pPr>
    </w:p>
    <w:p w:rsidR="009D7570" w:rsidRDefault="009D7570" w:rsidP="00B4364F">
      <w:pPr>
        <w:spacing w:before="240" w:after="240" w:line="480" w:lineRule="auto"/>
        <w:ind w:firstLine="720"/>
      </w:pPr>
    </w:p>
    <w:sectPr w:rsidR="009D7570">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47E8" w:rsidRDefault="00A247E8" w:rsidP="00B029CA">
      <w:r>
        <w:separator/>
      </w:r>
    </w:p>
  </w:endnote>
  <w:endnote w:type="continuationSeparator" w:id="0">
    <w:p w:rsidR="00A247E8" w:rsidRDefault="00A247E8" w:rsidP="00B02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47E8" w:rsidRDefault="00A247E8" w:rsidP="00B029CA">
      <w:r>
        <w:separator/>
      </w:r>
    </w:p>
  </w:footnote>
  <w:footnote w:type="continuationSeparator" w:id="0">
    <w:p w:rsidR="00A247E8" w:rsidRDefault="00A247E8" w:rsidP="00B02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5755200"/>
      <w:docPartObj>
        <w:docPartGallery w:val="Page Numbers (Top of Page)"/>
        <w:docPartUnique/>
      </w:docPartObj>
    </w:sdtPr>
    <w:sdtEndPr>
      <w:rPr>
        <w:noProof/>
      </w:rPr>
    </w:sdtEndPr>
    <w:sdtContent>
      <w:p w:rsidR="00B029CA" w:rsidRDefault="00B029CA">
        <w:pPr>
          <w:pStyle w:val="Header"/>
          <w:jc w:val="right"/>
        </w:pPr>
        <w:r>
          <w:fldChar w:fldCharType="begin"/>
        </w:r>
        <w:r>
          <w:instrText xml:space="preserve"> PAGE   \* MERGEFORMAT </w:instrText>
        </w:r>
        <w:r>
          <w:fldChar w:fldCharType="separate"/>
        </w:r>
        <w:r w:rsidR="00A247E8">
          <w:rPr>
            <w:noProof/>
          </w:rPr>
          <w:t>1</w:t>
        </w:r>
        <w:r>
          <w:rPr>
            <w:noProof/>
          </w:rPr>
          <w:fldChar w:fldCharType="end"/>
        </w:r>
      </w:p>
    </w:sdtContent>
  </w:sdt>
  <w:p w:rsidR="00B029CA" w:rsidRDefault="00B029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FD6"/>
    <w:rsid w:val="00746C2F"/>
    <w:rsid w:val="007D5442"/>
    <w:rsid w:val="009D7570"/>
    <w:rsid w:val="00A247E8"/>
    <w:rsid w:val="00AC0ADF"/>
    <w:rsid w:val="00B029CA"/>
    <w:rsid w:val="00B4364F"/>
    <w:rsid w:val="00D14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232B7"/>
  <w15:docId w15:val="{5BC3B946-7E51-42A5-8658-40615C1D1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B029CA"/>
    <w:pPr>
      <w:tabs>
        <w:tab w:val="center" w:pos="4680"/>
        <w:tab w:val="right" w:pos="9360"/>
      </w:tabs>
    </w:pPr>
  </w:style>
  <w:style w:type="character" w:customStyle="1" w:styleId="HeaderChar">
    <w:name w:val="Header Char"/>
    <w:basedOn w:val="DefaultParagraphFont"/>
    <w:link w:val="Header"/>
    <w:uiPriority w:val="99"/>
    <w:rsid w:val="00B029CA"/>
    <w:rPr>
      <w:sz w:val="24"/>
      <w:szCs w:val="24"/>
    </w:rPr>
  </w:style>
  <w:style w:type="paragraph" w:styleId="Footer">
    <w:name w:val="footer"/>
    <w:basedOn w:val="Normal"/>
    <w:link w:val="FooterChar"/>
    <w:uiPriority w:val="99"/>
    <w:unhideWhenUsed/>
    <w:rsid w:val="00B029CA"/>
    <w:pPr>
      <w:tabs>
        <w:tab w:val="center" w:pos="4680"/>
        <w:tab w:val="right" w:pos="9360"/>
      </w:tabs>
    </w:pPr>
  </w:style>
  <w:style w:type="character" w:customStyle="1" w:styleId="FooterChar">
    <w:name w:val="Footer Char"/>
    <w:basedOn w:val="DefaultParagraphFont"/>
    <w:link w:val="Footer"/>
    <w:uiPriority w:val="99"/>
    <w:rsid w:val="00B029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6720">
      <w:bodyDiv w:val="1"/>
      <w:marLeft w:val="0"/>
      <w:marRight w:val="0"/>
      <w:marTop w:val="0"/>
      <w:marBottom w:val="0"/>
      <w:divBdr>
        <w:top w:val="none" w:sz="0" w:space="0" w:color="auto"/>
        <w:left w:val="none" w:sz="0" w:space="0" w:color="auto"/>
        <w:bottom w:val="none" w:sz="0" w:space="0" w:color="auto"/>
        <w:right w:val="none" w:sz="0" w:space="0" w:color="auto"/>
      </w:divBdr>
      <w:divsChild>
        <w:div w:id="77420509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4</cp:revision>
  <dcterms:created xsi:type="dcterms:W3CDTF">2021-09-27T19:39:00Z</dcterms:created>
  <dcterms:modified xsi:type="dcterms:W3CDTF">2021-09-27T19:41:00Z</dcterms:modified>
</cp:coreProperties>
</file>